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5A3" w:rsidRPr="00675AD0" w:rsidRDefault="00675AD0">
      <w:pPr>
        <w:rPr>
          <w:lang w:val="en-US"/>
        </w:rPr>
      </w:pPr>
      <w:r w:rsidRPr="00675AD0">
        <w:rPr>
          <w:rFonts w:ascii="latoregular" w:hAnsi="latoregular"/>
          <w:color w:val="333333"/>
          <w:sz w:val="21"/>
          <w:szCs w:val="21"/>
          <w:lang w:val="en-US"/>
        </w:rPr>
        <w:t>Contents: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Introduction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Rafael Leal-</w:t>
      </w:r>
      <w:proofErr w:type="spellStart"/>
      <w:r w:rsidRPr="00675AD0">
        <w:rPr>
          <w:rFonts w:ascii="latoregular" w:hAnsi="latoregular"/>
          <w:color w:val="333333"/>
          <w:sz w:val="21"/>
          <w:szCs w:val="21"/>
          <w:lang w:val="en-US"/>
        </w:rPr>
        <w:t>Arcas</w:t>
      </w:r>
      <w:proofErr w:type="spellEnd"/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Preamble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Antonio Morelli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PART I</w:t>
      </w:r>
      <w:r>
        <w:rPr>
          <w:rFonts w:ascii="latoregular" w:hAnsi="latoregular"/>
          <w:color w:val="333333"/>
          <w:sz w:val="21"/>
          <w:szCs w:val="21"/>
        </w:rPr>
        <w:t> 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>DEFINITION AND PURPOSE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1</w:t>
      </w:r>
      <w:r>
        <w:rPr>
          <w:rFonts w:ascii="latoregular" w:hAnsi="latoregular"/>
          <w:color w:val="333333"/>
          <w:sz w:val="21"/>
          <w:szCs w:val="21"/>
        </w:rPr>
        <w:t> 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>Definitions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 xml:space="preserve">Dylan </w:t>
      </w:r>
      <w:proofErr w:type="spellStart"/>
      <w:r w:rsidRPr="00675AD0">
        <w:rPr>
          <w:rFonts w:ascii="latoregular" w:hAnsi="latoregular"/>
          <w:color w:val="333333"/>
          <w:sz w:val="21"/>
          <w:szCs w:val="21"/>
          <w:lang w:val="en-US"/>
        </w:rPr>
        <w:t>Geraets</w:t>
      </w:r>
      <w:proofErr w:type="spellEnd"/>
      <w:r w:rsidRPr="00675AD0">
        <w:rPr>
          <w:rFonts w:ascii="latoregular" w:hAnsi="latoregular"/>
          <w:color w:val="333333"/>
          <w:sz w:val="21"/>
          <w:szCs w:val="21"/>
          <w:lang w:val="en-US"/>
        </w:rPr>
        <w:t xml:space="preserve"> and Leonie Reins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2</w:t>
      </w:r>
      <w:r>
        <w:rPr>
          <w:rFonts w:ascii="latoregular" w:hAnsi="latoregular"/>
          <w:color w:val="333333"/>
          <w:sz w:val="21"/>
          <w:szCs w:val="21"/>
        </w:rPr>
        <w:t> 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 xml:space="preserve">Purpose of the Treaty 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Leonie Reins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PART II</w:t>
      </w:r>
      <w:r>
        <w:rPr>
          <w:rFonts w:ascii="latoregular" w:hAnsi="latoregular"/>
          <w:color w:val="333333"/>
          <w:sz w:val="21"/>
          <w:szCs w:val="21"/>
        </w:rPr>
        <w:t> 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>COMMERCE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3</w:t>
      </w:r>
      <w:r>
        <w:rPr>
          <w:rFonts w:ascii="latoregular" w:hAnsi="latoregular"/>
          <w:color w:val="333333"/>
          <w:sz w:val="21"/>
          <w:szCs w:val="21"/>
        </w:rPr>
        <w:t> 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>International markets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Pierre Serra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4</w:t>
      </w:r>
      <w:r>
        <w:rPr>
          <w:rFonts w:ascii="latoregular" w:hAnsi="latoregular"/>
          <w:color w:val="333333"/>
          <w:sz w:val="21"/>
          <w:szCs w:val="21"/>
        </w:rPr>
        <w:t> 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>Non-derogation from WTO Agreement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Pierre Serra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5</w:t>
      </w:r>
      <w:r>
        <w:rPr>
          <w:rFonts w:ascii="latoregular" w:hAnsi="latoregular"/>
          <w:color w:val="333333"/>
          <w:sz w:val="21"/>
          <w:szCs w:val="21"/>
        </w:rPr>
        <w:t> 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>Trade-related investment measures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Pierre Serra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6</w:t>
      </w:r>
      <w:r>
        <w:rPr>
          <w:rFonts w:ascii="latoregular" w:hAnsi="latoregular"/>
          <w:color w:val="333333"/>
          <w:sz w:val="21"/>
          <w:szCs w:val="21"/>
        </w:rPr>
        <w:t> 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>Competition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Pierre Serra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7</w:t>
      </w:r>
      <w:r>
        <w:rPr>
          <w:rFonts w:ascii="latoregular" w:hAnsi="latoregular"/>
          <w:color w:val="333333"/>
          <w:sz w:val="21"/>
          <w:szCs w:val="21"/>
        </w:rPr>
        <w:t> 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>Transit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proofErr w:type="spellStart"/>
      <w:r w:rsidRPr="00675AD0">
        <w:rPr>
          <w:rFonts w:ascii="latoregular" w:hAnsi="latoregular"/>
          <w:color w:val="333333"/>
          <w:sz w:val="21"/>
          <w:szCs w:val="21"/>
          <w:lang w:val="en-US"/>
        </w:rPr>
        <w:t>Cătălin</w:t>
      </w:r>
      <w:proofErr w:type="spellEnd"/>
      <w:r w:rsidRPr="00675AD0">
        <w:rPr>
          <w:rFonts w:ascii="latoregular" w:hAnsi="latoregular"/>
          <w:color w:val="333333"/>
          <w:sz w:val="21"/>
          <w:szCs w:val="21"/>
          <w:lang w:val="en-US"/>
        </w:rPr>
        <w:t xml:space="preserve"> Gabriel </w:t>
      </w:r>
      <w:proofErr w:type="spellStart"/>
      <w:r w:rsidRPr="00675AD0">
        <w:rPr>
          <w:rFonts w:ascii="latoregular" w:hAnsi="latoregular"/>
          <w:color w:val="333333"/>
          <w:sz w:val="21"/>
          <w:szCs w:val="21"/>
          <w:lang w:val="en-US"/>
        </w:rPr>
        <w:t>Stănescu</w:t>
      </w:r>
      <w:proofErr w:type="spellEnd"/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8</w:t>
      </w:r>
      <w:r>
        <w:rPr>
          <w:rFonts w:ascii="latoregular" w:hAnsi="latoregular"/>
          <w:color w:val="333333"/>
          <w:sz w:val="21"/>
          <w:szCs w:val="21"/>
        </w:rPr>
        <w:t> 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>Transfer of technology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Beatriz Huarte Melgar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9</w:t>
      </w:r>
      <w:r>
        <w:rPr>
          <w:rFonts w:ascii="latoregular" w:hAnsi="latoregular"/>
          <w:color w:val="333333"/>
          <w:sz w:val="21"/>
          <w:szCs w:val="21"/>
        </w:rPr>
        <w:t> 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 xml:space="preserve">Access to capital 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Beatriz Huarte Melgar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PART III</w:t>
      </w:r>
      <w:r>
        <w:rPr>
          <w:rFonts w:ascii="latoregular" w:hAnsi="latoregular"/>
          <w:color w:val="333333"/>
          <w:sz w:val="21"/>
          <w:szCs w:val="21"/>
        </w:rPr>
        <w:t> 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 xml:space="preserve">INVESTMENT PROMOTION AND PROTECTION 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10</w:t>
      </w:r>
      <w:r>
        <w:rPr>
          <w:rFonts w:ascii="latoregular" w:hAnsi="latoregular"/>
          <w:color w:val="333333"/>
          <w:sz w:val="21"/>
          <w:szCs w:val="21"/>
        </w:rPr>
        <w:t> 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>Promotion, protection and treatment of investments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 xml:space="preserve">Diego </w:t>
      </w:r>
      <w:proofErr w:type="spellStart"/>
      <w:r w:rsidRPr="00675AD0">
        <w:rPr>
          <w:rFonts w:ascii="latoregular" w:hAnsi="latoregular"/>
          <w:color w:val="333333"/>
          <w:sz w:val="21"/>
          <w:szCs w:val="21"/>
          <w:lang w:val="en-US"/>
        </w:rPr>
        <w:t>Mejía-Lemos</w:t>
      </w:r>
      <w:proofErr w:type="spellEnd"/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11</w:t>
      </w:r>
      <w:r>
        <w:rPr>
          <w:rFonts w:ascii="latoregular" w:hAnsi="latoregular"/>
          <w:color w:val="333333"/>
          <w:sz w:val="21"/>
          <w:szCs w:val="21"/>
        </w:rPr>
        <w:t> 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 xml:space="preserve">Key personnel 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 xml:space="preserve">Diego </w:t>
      </w:r>
      <w:proofErr w:type="spellStart"/>
      <w:r w:rsidRPr="00675AD0">
        <w:rPr>
          <w:rFonts w:ascii="latoregular" w:hAnsi="latoregular"/>
          <w:color w:val="333333"/>
          <w:sz w:val="21"/>
          <w:szCs w:val="21"/>
          <w:lang w:val="en-US"/>
        </w:rPr>
        <w:t>Mejía-Lemos</w:t>
      </w:r>
      <w:proofErr w:type="spellEnd"/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12</w:t>
      </w:r>
      <w:r>
        <w:rPr>
          <w:rFonts w:ascii="latoregular" w:hAnsi="latoregular"/>
          <w:color w:val="333333"/>
          <w:sz w:val="21"/>
          <w:szCs w:val="21"/>
        </w:rPr>
        <w:t> 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>Compensation for losses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 xml:space="preserve">Diego </w:t>
      </w:r>
      <w:proofErr w:type="spellStart"/>
      <w:r w:rsidRPr="00675AD0">
        <w:rPr>
          <w:rFonts w:ascii="latoregular" w:hAnsi="latoregular"/>
          <w:color w:val="333333"/>
          <w:sz w:val="21"/>
          <w:szCs w:val="21"/>
          <w:lang w:val="en-US"/>
        </w:rPr>
        <w:t>Mejía-Lemos</w:t>
      </w:r>
      <w:proofErr w:type="spellEnd"/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13</w:t>
      </w:r>
      <w:r>
        <w:rPr>
          <w:rFonts w:ascii="latoregular" w:hAnsi="latoregular"/>
          <w:color w:val="333333"/>
          <w:sz w:val="21"/>
          <w:szCs w:val="21"/>
        </w:rPr>
        <w:t> 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>Expropriation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 xml:space="preserve">Diego </w:t>
      </w:r>
      <w:proofErr w:type="spellStart"/>
      <w:r w:rsidRPr="00675AD0">
        <w:rPr>
          <w:rFonts w:ascii="latoregular" w:hAnsi="latoregular"/>
          <w:color w:val="333333"/>
          <w:sz w:val="21"/>
          <w:szCs w:val="21"/>
          <w:lang w:val="en-US"/>
        </w:rPr>
        <w:t>Mejía-Lemos</w:t>
      </w:r>
      <w:proofErr w:type="spellEnd"/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14</w:t>
      </w:r>
      <w:r>
        <w:rPr>
          <w:rFonts w:ascii="latoregular" w:hAnsi="latoregular"/>
          <w:color w:val="333333"/>
          <w:sz w:val="21"/>
          <w:szCs w:val="21"/>
        </w:rPr>
        <w:t> 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>Transfers related to investments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Francesco Montanaro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15</w:t>
      </w:r>
      <w:r>
        <w:rPr>
          <w:rFonts w:ascii="latoregular" w:hAnsi="latoregular"/>
          <w:color w:val="333333"/>
          <w:sz w:val="21"/>
          <w:szCs w:val="21"/>
        </w:rPr>
        <w:t> 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 xml:space="preserve">Subrogation 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Apurva Mudliar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lastRenderedPageBreak/>
        <w:br/>
        <w:t>Article 16</w:t>
      </w:r>
      <w:r>
        <w:rPr>
          <w:rFonts w:ascii="latoregular" w:hAnsi="latoregular"/>
          <w:color w:val="333333"/>
          <w:sz w:val="21"/>
          <w:szCs w:val="21"/>
        </w:rPr>
        <w:t> 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>Relation to other agreements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Francesco Montanaro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17</w:t>
      </w:r>
      <w:r>
        <w:rPr>
          <w:rFonts w:ascii="latoregular" w:hAnsi="latoregular"/>
          <w:color w:val="333333"/>
          <w:sz w:val="21"/>
          <w:szCs w:val="21"/>
        </w:rPr>
        <w:t> 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>Non-application of Part III in certain circumstances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Apurva Mudliar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PART IV</w:t>
      </w:r>
      <w:r>
        <w:rPr>
          <w:rFonts w:ascii="latoregular" w:hAnsi="latoregular"/>
          <w:color w:val="333333"/>
          <w:sz w:val="21"/>
          <w:szCs w:val="21"/>
        </w:rPr>
        <w:t> 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>MISCELLANEOUS PROVISIONS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18</w:t>
      </w:r>
      <w:r>
        <w:rPr>
          <w:rFonts w:ascii="latoregular" w:hAnsi="latoregular"/>
          <w:color w:val="333333"/>
          <w:sz w:val="21"/>
          <w:szCs w:val="21"/>
        </w:rPr>
        <w:t> 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>Sovereignty over energy resources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 xml:space="preserve">Peter Vajda and Varvara </w:t>
      </w:r>
      <w:proofErr w:type="spellStart"/>
      <w:r w:rsidRPr="00675AD0">
        <w:rPr>
          <w:rFonts w:ascii="latoregular" w:hAnsi="latoregular"/>
          <w:color w:val="333333"/>
          <w:sz w:val="21"/>
          <w:szCs w:val="21"/>
          <w:lang w:val="en-US"/>
        </w:rPr>
        <w:t>Aleksić</w:t>
      </w:r>
      <w:proofErr w:type="spellEnd"/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Tina Hunter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19</w:t>
      </w:r>
      <w:r>
        <w:rPr>
          <w:rFonts w:ascii="latoregular" w:hAnsi="latoregular"/>
          <w:color w:val="333333"/>
          <w:sz w:val="21"/>
          <w:szCs w:val="21"/>
        </w:rPr>
        <w:t> 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>Environmental aspects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 xml:space="preserve">Peter Vajda and Varvara </w:t>
      </w:r>
      <w:proofErr w:type="spellStart"/>
      <w:r w:rsidRPr="00675AD0">
        <w:rPr>
          <w:rFonts w:ascii="latoregular" w:hAnsi="latoregular"/>
          <w:color w:val="333333"/>
          <w:sz w:val="21"/>
          <w:szCs w:val="21"/>
          <w:lang w:val="en-US"/>
        </w:rPr>
        <w:t>Aleksić</w:t>
      </w:r>
      <w:proofErr w:type="spellEnd"/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Tina Hunter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20</w:t>
      </w:r>
      <w:r>
        <w:rPr>
          <w:rFonts w:ascii="latoregular" w:hAnsi="latoregular"/>
          <w:color w:val="333333"/>
          <w:sz w:val="21"/>
          <w:szCs w:val="21"/>
        </w:rPr>
        <w:t> 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 xml:space="preserve">Transparency 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Gloria Alvarez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21</w:t>
      </w:r>
      <w:r>
        <w:rPr>
          <w:rFonts w:ascii="latoregular" w:hAnsi="latoregular"/>
          <w:color w:val="333333"/>
          <w:sz w:val="21"/>
          <w:szCs w:val="21"/>
        </w:rPr>
        <w:t> 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>Taxation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Gloria Alvarez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22</w:t>
      </w:r>
      <w:r>
        <w:rPr>
          <w:rFonts w:ascii="latoregular" w:hAnsi="latoregular"/>
          <w:color w:val="333333"/>
          <w:sz w:val="21"/>
          <w:szCs w:val="21"/>
        </w:rPr>
        <w:t> 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>State and privileged enterprises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Costantino Grasso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Tina Hunter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23</w:t>
      </w:r>
      <w:r>
        <w:rPr>
          <w:rFonts w:ascii="latoregular" w:hAnsi="latoregular"/>
          <w:color w:val="333333"/>
          <w:sz w:val="21"/>
          <w:szCs w:val="21"/>
        </w:rPr>
        <w:t> 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>Observance by sub-national authorities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Costantino Grasso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24</w:t>
      </w:r>
      <w:r>
        <w:rPr>
          <w:rFonts w:ascii="latoregular" w:hAnsi="latoregular"/>
          <w:color w:val="333333"/>
          <w:sz w:val="21"/>
          <w:szCs w:val="21"/>
        </w:rPr>
        <w:t> 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>Exceptions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Costantino Grasso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Gloria Alvarez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25</w:t>
      </w:r>
      <w:r>
        <w:rPr>
          <w:rFonts w:ascii="latoregular" w:hAnsi="latoregular"/>
          <w:color w:val="333333"/>
          <w:sz w:val="21"/>
          <w:szCs w:val="21"/>
        </w:rPr>
        <w:t> 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>Economic Integration Agreements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Costantino Grasso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Gloria Alvarez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PART V</w:t>
      </w:r>
      <w:r>
        <w:rPr>
          <w:rFonts w:ascii="latoregular" w:hAnsi="latoregular"/>
          <w:color w:val="333333"/>
          <w:sz w:val="21"/>
          <w:szCs w:val="21"/>
        </w:rPr>
        <w:t> 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>DISPUTE SETTLEMENT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26</w:t>
      </w:r>
      <w:r>
        <w:rPr>
          <w:rFonts w:ascii="latoregular" w:hAnsi="latoregular"/>
          <w:color w:val="333333"/>
          <w:sz w:val="21"/>
          <w:szCs w:val="21"/>
        </w:rPr>
        <w:t> 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 xml:space="preserve">Settlement of disputes between an investor and a contracting party 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 xml:space="preserve">Fernando Dias </w:t>
      </w:r>
      <w:proofErr w:type="spellStart"/>
      <w:r w:rsidRPr="00675AD0">
        <w:rPr>
          <w:rFonts w:ascii="latoregular" w:hAnsi="latoregular"/>
          <w:color w:val="333333"/>
          <w:sz w:val="21"/>
          <w:szCs w:val="21"/>
          <w:lang w:val="en-US"/>
        </w:rPr>
        <w:t>Simões</w:t>
      </w:r>
      <w:proofErr w:type="spellEnd"/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27</w:t>
      </w:r>
      <w:r>
        <w:rPr>
          <w:rFonts w:ascii="latoregular" w:hAnsi="latoregular"/>
          <w:color w:val="333333"/>
          <w:sz w:val="21"/>
          <w:szCs w:val="21"/>
        </w:rPr>
        <w:t> 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>Settlement of disputes between contracting parties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Crina Baltag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28</w:t>
      </w:r>
      <w:r>
        <w:rPr>
          <w:rFonts w:ascii="latoregular" w:hAnsi="latoregular"/>
          <w:color w:val="333333"/>
          <w:sz w:val="21"/>
          <w:szCs w:val="21"/>
        </w:rPr>
        <w:t> 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 xml:space="preserve"> Exclusion of certain provisions of the ECT from the settlement of disputes between contracting parties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Crina Baltag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PART VI</w:t>
      </w:r>
      <w:r>
        <w:rPr>
          <w:rFonts w:ascii="latoregular" w:hAnsi="latoregular"/>
          <w:color w:val="333333"/>
          <w:sz w:val="21"/>
          <w:szCs w:val="21"/>
        </w:rPr>
        <w:t> 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>TRANSITIONAL PROVISIONS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29</w:t>
      </w:r>
      <w:r>
        <w:rPr>
          <w:rFonts w:ascii="latoregular" w:hAnsi="latoregular"/>
          <w:color w:val="333333"/>
          <w:sz w:val="21"/>
          <w:szCs w:val="21"/>
        </w:rPr>
        <w:t> 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>Interim provisions on trade-related matters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Max Baumgart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30</w:t>
      </w:r>
      <w:r>
        <w:rPr>
          <w:rFonts w:ascii="latoregular" w:hAnsi="latoregular"/>
          <w:color w:val="333333"/>
          <w:sz w:val="21"/>
          <w:szCs w:val="21"/>
        </w:rPr>
        <w:t> 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>Developments in international trading arrangements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 xml:space="preserve">Silke Goldberg, Naomi </w:t>
      </w:r>
      <w:proofErr w:type="spellStart"/>
      <w:r w:rsidRPr="00675AD0">
        <w:rPr>
          <w:rFonts w:ascii="latoregular" w:hAnsi="latoregular"/>
          <w:color w:val="333333"/>
          <w:sz w:val="21"/>
          <w:szCs w:val="21"/>
          <w:lang w:val="en-US"/>
        </w:rPr>
        <w:t>Lisney</w:t>
      </w:r>
      <w:proofErr w:type="spellEnd"/>
      <w:r w:rsidRPr="00675AD0">
        <w:rPr>
          <w:rFonts w:ascii="latoregular" w:hAnsi="latoregular"/>
          <w:color w:val="333333"/>
          <w:sz w:val="21"/>
          <w:szCs w:val="21"/>
          <w:lang w:val="en-US"/>
        </w:rPr>
        <w:t xml:space="preserve"> and Anne </w:t>
      </w:r>
      <w:proofErr w:type="spellStart"/>
      <w:r w:rsidRPr="00675AD0">
        <w:rPr>
          <w:rFonts w:ascii="latoregular" w:hAnsi="latoregular"/>
          <w:color w:val="333333"/>
          <w:sz w:val="21"/>
          <w:szCs w:val="21"/>
          <w:lang w:val="en-US"/>
        </w:rPr>
        <w:t>Eckenroth</w:t>
      </w:r>
      <w:proofErr w:type="spellEnd"/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lastRenderedPageBreak/>
        <w:t>Article 31</w:t>
      </w:r>
      <w:r>
        <w:rPr>
          <w:rFonts w:ascii="latoregular" w:hAnsi="latoregular"/>
          <w:color w:val="333333"/>
          <w:sz w:val="21"/>
          <w:szCs w:val="21"/>
        </w:rPr>
        <w:t> 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>Energy-related equipment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 xml:space="preserve">Silke Goldberg, Naomi </w:t>
      </w:r>
      <w:proofErr w:type="spellStart"/>
      <w:r w:rsidRPr="00675AD0">
        <w:rPr>
          <w:rFonts w:ascii="latoregular" w:hAnsi="latoregular"/>
          <w:color w:val="333333"/>
          <w:sz w:val="21"/>
          <w:szCs w:val="21"/>
          <w:lang w:val="en-US"/>
        </w:rPr>
        <w:t>Lisney</w:t>
      </w:r>
      <w:proofErr w:type="spellEnd"/>
      <w:r w:rsidRPr="00675AD0">
        <w:rPr>
          <w:rFonts w:ascii="latoregular" w:hAnsi="latoregular"/>
          <w:color w:val="333333"/>
          <w:sz w:val="21"/>
          <w:szCs w:val="21"/>
          <w:lang w:val="en-US"/>
        </w:rPr>
        <w:t xml:space="preserve"> and Anne </w:t>
      </w:r>
      <w:proofErr w:type="spellStart"/>
      <w:r w:rsidRPr="00675AD0">
        <w:rPr>
          <w:rFonts w:ascii="latoregular" w:hAnsi="latoregular"/>
          <w:color w:val="333333"/>
          <w:sz w:val="21"/>
          <w:szCs w:val="21"/>
          <w:lang w:val="en-US"/>
        </w:rPr>
        <w:t>Eckenroth</w:t>
      </w:r>
      <w:proofErr w:type="spellEnd"/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32</w:t>
      </w:r>
      <w:r>
        <w:rPr>
          <w:rFonts w:ascii="latoregular" w:hAnsi="latoregular"/>
          <w:color w:val="333333"/>
          <w:sz w:val="21"/>
          <w:szCs w:val="21"/>
        </w:rPr>
        <w:t> 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>Transitional arrangements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 xml:space="preserve">Silke Goldberg, Naomi </w:t>
      </w:r>
      <w:proofErr w:type="spellStart"/>
      <w:r w:rsidRPr="00675AD0">
        <w:rPr>
          <w:rFonts w:ascii="latoregular" w:hAnsi="latoregular"/>
          <w:color w:val="333333"/>
          <w:sz w:val="21"/>
          <w:szCs w:val="21"/>
          <w:lang w:val="en-US"/>
        </w:rPr>
        <w:t>Lisney</w:t>
      </w:r>
      <w:proofErr w:type="spellEnd"/>
      <w:r w:rsidRPr="00675AD0">
        <w:rPr>
          <w:rFonts w:ascii="latoregular" w:hAnsi="latoregular"/>
          <w:color w:val="333333"/>
          <w:sz w:val="21"/>
          <w:szCs w:val="21"/>
          <w:lang w:val="en-US"/>
        </w:rPr>
        <w:t xml:space="preserve"> and Anne </w:t>
      </w:r>
      <w:proofErr w:type="spellStart"/>
      <w:r w:rsidRPr="00675AD0">
        <w:rPr>
          <w:rFonts w:ascii="latoregular" w:hAnsi="latoregular"/>
          <w:color w:val="333333"/>
          <w:sz w:val="21"/>
          <w:szCs w:val="21"/>
          <w:lang w:val="en-US"/>
        </w:rPr>
        <w:t>Eckenroth</w:t>
      </w:r>
      <w:proofErr w:type="spellEnd"/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PART VII</w:t>
      </w:r>
      <w:r>
        <w:rPr>
          <w:rFonts w:ascii="latoregular" w:hAnsi="latoregular"/>
          <w:color w:val="333333"/>
          <w:sz w:val="21"/>
          <w:szCs w:val="21"/>
        </w:rPr>
        <w:t> 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>STRUCTURE AND INSTITUTIONS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33</w:t>
      </w:r>
      <w:r>
        <w:rPr>
          <w:rFonts w:ascii="latoregular" w:hAnsi="latoregular"/>
          <w:color w:val="333333"/>
          <w:sz w:val="21"/>
          <w:szCs w:val="21"/>
        </w:rPr>
        <w:t> 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>Energy Charter Protocols and Declarations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 xml:space="preserve">Silke Goldberg, Naomi </w:t>
      </w:r>
      <w:proofErr w:type="spellStart"/>
      <w:r w:rsidRPr="00675AD0">
        <w:rPr>
          <w:rFonts w:ascii="latoregular" w:hAnsi="latoregular"/>
          <w:color w:val="333333"/>
          <w:sz w:val="21"/>
          <w:szCs w:val="21"/>
          <w:lang w:val="en-US"/>
        </w:rPr>
        <w:t>Lisney</w:t>
      </w:r>
      <w:proofErr w:type="spellEnd"/>
      <w:r w:rsidRPr="00675AD0">
        <w:rPr>
          <w:rFonts w:ascii="latoregular" w:hAnsi="latoregular"/>
          <w:color w:val="333333"/>
          <w:sz w:val="21"/>
          <w:szCs w:val="21"/>
          <w:lang w:val="en-US"/>
        </w:rPr>
        <w:t xml:space="preserve"> and Anne </w:t>
      </w:r>
      <w:proofErr w:type="spellStart"/>
      <w:r w:rsidRPr="00675AD0">
        <w:rPr>
          <w:rFonts w:ascii="latoregular" w:hAnsi="latoregular"/>
          <w:color w:val="333333"/>
          <w:sz w:val="21"/>
          <w:szCs w:val="21"/>
          <w:lang w:val="en-US"/>
        </w:rPr>
        <w:t>Eckenroth</w:t>
      </w:r>
      <w:proofErr w:type="spellEnd"/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34</w:t>
      </w:r>
      <w:r>
        <w:rPr>
          <w:rFonts w:ascii="latoregular" w:hAnsi="latoregular"/>
          <w:color w:val="333333"/>
          <w:sz w:val="21"/>
          <w:szCs w:val="21"/>
        </w:rPr>
        <w:t> 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 xml:space="preserve">Energy Charter Conference 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proofErr w:type="spellStart"/>
      <w:r w:rsidRPr="00675AD0">
        <w:rPr>
          <w:rFonts w:ascii="latoregular" w:hAnsi="latoregular"/>
          <w:color w:val="333333"/>
          <w:sz w:val="21"/>
          <w:szCs w:val="21"/>
          <w:lang w:val="en-US"/>
        </w:rPr>
        <w:t>Cătălin</w:t>
      </w:r>
      <w:proofErr w:type="spellEnd"/>
      <w:r w:rsidRPr="00675AD0">
        <w:rPr>
          <w:rFonts w:ascii="latoregular" w:hAnsi="latoregular"/>
          <w:color w:val="333333"/>
          <w:sz w:val="21"/>
          <w:szCs w:val="21"/>
          <w:lang w:val="en-US"/>
        </w:rPr>
        <w:t xml:space="preserve"> Gabriel </w:t>
      </w:r>
      <w:proofErr w:type="spellStart"/>
      <w:r w:rsidRPr="00675AD0">
        <w:rPr>
          <w:rFonts w:ascii="latoregular" w:hAnsi="latoregular"/>
          <w:color w:val="333333"/>
          <w:sz w:val="21"/>
          <w:szCs w:val="21"/>
          <w:lang w:val="en-US"/>
        </w:rPr>
        <w:t>Stănescu</w:t>
      </w:r>
      <w:proofErr w:type="spellEnd"/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35</w:t>
      </w:r>
      <w:r>
        <w:rPr>
          <w:rFonts w:ascii="latoregular" w:hAnsi="latoregular"/>
          <w:color w:val="333333"/>
          <w:sz w:val="21"/>
          <w:szCs w:val="21"/>
        </w:rPr>
        <w:t> 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>Secretariat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proofErr w:type="spellStart"/>
      <w:r w:rsidRPr="00675AD0">
        <w:rPr>
          <w:rFonts w:ascii="latoregular" w:hAnsi="latoregular"/>
          <w:color w:val="333333"/>
          <w:sz w:val="21"/>
          <w:szCs w:val="21"/>
          <w:lang w:val="en-US"/>
        </w:rPr>
        <w:t>Cătălin</w:t>
      </w:r>
      <w:proofErr w:type="spellEnd"/>
      <w:r w:rsidRPr="00675AD0">
        <w:rPr>
          <w:rFonts w:ascii="latoregular" w:hAnsi="latoregular"/>
          <w:color w:val="333333"/>
          <w:sz w:val="21"/>
          <w:szCs w:val="21"/>
          <w:lang w:val="en-US"/>
        </w:rPr>
        <w:t xml:space="preserve"> Gabriel </w:t>
      </w:r>
      <w:proofErr w:type="spellStart"/>
      <w:r w:rsidRPr="00675AD0">
        <w:rPr>
          <w:rFonts w:ascii="latoregular" w:hAnsi="latoregular"/>
          <w:color w:val="333333"/>
          <w:sz w:val="21"/>
          <w:szCs w:val="21"/>
          <w:lang w:val="en-US"/>
        </w:rPr>
        <w:t>Stănescu</w:t>
      </w:r>
      <w:proofErr w:type="spellEnd"/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36</w:t>
      </w:r>
      <w:r>
        <w:rPr>
          <w:rFonts w:ascii="latoregular" w:hAnsi="latoregular"/>
          <w:color w:val="333333"/>
          <w:sz w:val="21"/>
          <w:szCs w:val="21"/>
        </w:rPr>
        <w:t> 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>Voting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proofErr w:type="spellStart"/>
      <w:r w:rsidRPr="00675AD0">
        <w:rPr>
          <w:rFonts w:ascii="latoregular" w:hAnsi="latoregular"/>
          <w:color w:val="333333"/>
          <w:sz w:val="21"/>
          <w:szCs w:val="21"/>
          <w:lang w:val="en-US"/>
        </w:rPr>
        <w:t>Cătălin</w:t>
      </w:r>
      <w:proofErr w:type="spellEnd"/>
      <w:r w:rsidRPr="00675AD0">
        <w:rPr>
          <w:rFonts w:ascii="latoregular" w:hAnsi="latoregular"/>
          <w:color w:val="333333"/>
          <w:sz w:val="21"/>
          <w:szCs w:val="21"/>
          <w:lang w:val="en-US"/>
        </w:rPr>
        <w:t xml:space="preserve"> Gabriel </w:t>
      </w:r>
      <w:proofErr w:type="spellStart"/>
      <w:r w:rsidRPr="00675AD0">
        <w:rPr>
          <w:rFonts w:ascii="latoregular" w:hAnsi="latoregular"/>
          <w:color w:val="333333"/>
          <w:sz w:val="21"/>
          <w:szCs w:val="21"/>
          <w:lang w:val="en-US"/>
        </w:rPr>
        <w:t>Stănescu</w:t>
      </w:r>
      <w:proofErr w:type="spellEnd"/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37</w:t>
      </w:r>
      <w:r>
        <w:rPr>
          <w:rFonts w:ascii="latoregular" w:hAnsi="latoregular"/>
          <w:color w:val="333333"/>
          <w:sz w:val="21"/>
          <w:szCs w:val="21"/>
        </w:rPr>
        <w:t> 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>Funding principles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proofErr w:type="spellStart"/>
      <w:r w:rsidRPr="00675AD0">
        <w:rPr>
          <w:rFonts w:ascii="latoregular" w:hAnsi="latoregular"/>
          <w:color w:val="333333"/>
          <w:sz w:val="21"/>
          <w:szCs w:val="21"/>
          <w:lang w:val="en-US"/>
        </w:rPr>
        <w:t>Cătălin</w:t>
      </w:r>
      <w:proofErr w:type="spellEnd"/>
      <w:r w:rsidRPr="00675AD0">
        <w:rPr>
          <w:rFonts w:ascii="latoregular" w:hAnsi="latoregular"/>
          <w:color w:val="333333"/>
          <w:sz w:val="21"/>
          <w:szCs w:val="21"/>
          <w:lang w:val="en-US"/>
        </w:rPr>
        <w:t xml:space="preserve"> Gabriel </w:t>
      </w:r>
      <w:proofErr w:type="spellStart"/>
      <w:r w:rsidRPr="00675AD0">
        <w:rPr>
          <w:rFonts w:ascii="latoregular" w:hAnsi="latoregular"/>
          <w:color w:val="333333"/>
          <w:sz w:val="21"/>
          <w:szCs w:val="21"/>
          <w:lang w:val="en-US"/>
        </w:rPr>
        <w:t>Stănescu</w:t>
      </w:r>
      <w:proofErr w:type="spellEnd"/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PART VIII</w:t>
      </w:r>
      <w:r>
        <w:rPr>
          <w:rFonts w:ascii="latoregular" w:hAnsi="latoregular"/>
          <w:color w:val="333333"/>
          <w:sz w:val="21"/>
          <w:szCs w:val="21"/>
        </w:rPr>
        <w:t> 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>FINAL PROVISIONS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38</w:t>
      </w:r>
      <w:r>
        <w:rPr>
          <w:rFonts w:ascii="latoregular" w:hAnsi="latoregular"/>
          <w:color w:val="333333"/>
          <w:sz w:val="21"/>
          <w:szCs w:val="21"/>
        </w:rPr>
        <w:t> 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 xml:space="preserve">Signature 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Odysseas G. Repousis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39</w:t>
      </w:r>
      <w:r>
        <w:rPr>
          <w:rFonts w:ascii="latoregular" w:hAnsi="latoregular"/>
          <w:color w:val="333333"/>
          <w:sz w:val="21"/>
          <w:szCs w:val="21"/>
        </w:rPr>
        <w:t> 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>Ratification, acceptance or approval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Odysseas G. Repousis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40</w:t>
      </w:r>
      <w:r>
        <w:rPr>
          <w:rFonts w:ascii="latoregular" w:hAnsi="latoregular"/>
          <w:color w:val="333333"/>
          <w:sz w:val="21"/>
          <w:szCs w:val="21"/>
        </w:rPr>
        <w:t> 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>Application to territories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Odysseas G. Repousis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41</w:t>
      </w:r>
      <w:r>
        <w:rPr>
          <w:rFonts w:ascii="latoregular" w:hAnsi="latoregular"/>
          <w:color w:val="333333"/>
          <w:sz w:val="21"/>
          <w:szCs w:val="21"/>
        </w:rPr>
        <w:t> 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 xml:space="preserve">Accession 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Odysseas G. Repousis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42</w:t>
      </w:r>
      <w:r>
        <w:rPr>
          <w:rFonts w:ascii="latoregular" w:hAnsi="latoregular"/>
          <w:color w:val="333333"/>
          <w:sz w:val="21"/>
          <w:szCs w:val="21"/>
        </w:rPr>
        <w:t> 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>Amendments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Antonio Morelli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43</w:t>
      </w:r>
      <w:r>
        <w:rPr>
          <w:rFonts w:ascii="latoregular" w:hAnsi="latoregular"/>
          <w:color w:val="333333"/>
          <w:sz w:val="21"/>
          <w:szCs w:val="21"/>
        </w:rPr>
        <w:t> 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>Association agreements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Antonio Morelli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44</w:t>
      </w:r>
      <w:r>
        <w:rPr>
          <w:rFonts w:ascii="latoregular" w:hAnsi="latoregular"/>
          <w:color w:val="333333"/>
          <w:sz w:val="21"/>
          <w:szCs w:val="21"/>
        </w:rPr>
        <w:t> 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>Entry into force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Antonio Morelli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45</w:t>
      </w:r>
      <w:r>
        <w:rPr>
          <w:rFonts w:ascii="latoregular" w:hAnsi="latoregular"/>
          <w:color w:val="333333"/>
          <w:sz w:val="21"/>
          <w:szCs w:val="21"/>
        </w:rPr>
        <w:t> 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>Provisional application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Antonio Morelli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46</w:t>
      </w:r>
      <w:r>
        <w:rPr>
          <w:rFonts w:ascii="latoregular" w:hAnsi="latoregular"/>
          <w:color w:val="333333"/>
          <w:sz w:val="21"/>
          <w:szCs w:val="21"/>
        </w:rPr>
        <w:t> 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>Reservations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Antonio Morelli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47</w:t>
      </w:r>
      <w:r>
        <w:rPr>
          <w:rFonts w:ascii="latoregular" w:hAnsi="latoregular"/>
          <w:color w:val="333333"/>
          <w:sz w:val="21"/>
          <w:szCs w:val="21"/>
        </w:rPr>
        <w:t> 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 xml:space="preserve">Withdrawal 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Antonio Morelli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48</w:t>
      </w:r>
      <w:r>
        <w:rPr>
          <w:rFonts w:ascii="latoregular" w:hAnsi="latoregular"/>
          <w:color w:val="333333"/>
          <w:sz w:val="21"/>
          <w:szCs w:val="21"/>
        </w:rPr>
        <w:t> 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>Status of Annexes and Decisions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Leonardo Borlini and Marina Petri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lastRenderedPageBreak/>
        <w:br/>
        <w:t>Article 49</w:t>
      </w:r>
      <w:r>
        <w:rPr>
          <w:rFonts w:ascii="latoregular" w:hAnsi="latoregular"/>
          <w:color w:val="333333"/>
          <w:sz w:val="21"/>
          <w:szCs w:val="21"/>
        </w:rPr>
        <w:t> 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>Depositary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Leonardo Borlini and Marina Petri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Article 50</w:t>
      </w:r>
      <w:r>
        <w:rPr>
          <w:rFonts w:ascii="latoregular" w:hAnsi="latoregular"/>
          <w:color w:val="333333"/>
          <w:sz w:val="21"/>
          <w:szCs w:val="21"/>
        </w:rPr>
        <w:t> 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t>Authentic texts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Leonardo Borlini and Marina Petri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 xml:space="preserve">Appendix: Gas transit in Eurasia: transit issues between Russia and the European Union and the role of the Energy Charter 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Andrey A. Konoplyanik</w:t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</w:r>
      <w:r w:rsidRPr="00675AD0">
        <w:rPr>
          <w:rFonts w:ascii="latoregular" w:hAnsi="latoregular"/>
          <w:color w:val="333333"/>
          <w:sz w:val="21"/>
          <w:szCs w:val="21"/>
          <w:lang w:val="en-US"/>
        </w:rPr>
        <w:br/>
        <w:t>Index</w:t>
      </w:r>
      <w:bookmarkStart w:id="0" w:name="_GoBack"/>
      <w:bookmarkEnd w:id="0"/>
    </w:p>
    <w:sectPr w:rsidR="00C305A3" w:rsidRPr="00675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A4"/>
    <w:rsid w:val="001A06BB"/>
    <w:rsid w:val="00675AD0"/>
    <w:rsid w:val="006E48A4"/>
    <w:rsid w:val="00FC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E63F-C8C6-410F-B5A1-F9D543BA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3109</Characters>
  <Application>Microsoft Office Word</Application>
  <DocSecurity>0</DocSecurity>
  <Lines>444</Lines>
  <Paragraphs>178</Paragraphs>
  <ScaleCrop>false</ScaleCrop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KonoplyanikAA</dc:creator>
  <cp:keywords/>
  <dc:description/>
  <cp:lastModifiedBy>KonoplyanikAA</cp:lastModifiedBy>
  <cp:revision>2</cp:revision>
  <dcterms:created xsi:type="dcterms:W3CDTF">2018-10-12T08:59:00Z</dcterms:created>
  <dcterms:modified xsi:type="dcterms:W3CDTF">2018-10-12T08:59:00Z</dcterms:modified>
</cp:coreProperties>
</file>